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Logboek Woonoverlast – CalmNote</w:t>
      </w:r>
    </w:p>
    <w:p>
      <w:r>
        <w:t>Doel van dit logboek</w:t>
        <w:br/>
        <w:t>Dit logboek helpt om overlastsituaties objectief en overzichtelijk vast te leggen. Het kan gebruikt worden voor eigen inzicht, communicatie met buren of als ondersteuning richting verhuurder, VvE of gemeente.</w:t>
        <w:br/>
      </w:r>
    </w:p>
    <w:p>
      <w:pPr>
        <w:pStyle w:val="Heading1"/>
      </w:pPr>
      <w:r>
        <w:t>Persoonsgegevens (optioneel)</w:t>
      </w:r>
    </w:p>
    <w:p>
      <w:r>
        <w:t>Naam:</w:t>
        <w:br/>
        <w:t>Adres:</w:t>
        <w:br/>
        <w:t>Woonplaats:</w:t>
        <w:br/>
        <w:t>E-mailadres:</w:t>
        <w:br/>
        <w:t>Telefoonnummer:</w:t>
        <w:br/>
      </w:r>
    </w:p>
    <w:p>
      <w:pPr>
        <w:pStyle w:val="Heading1"/>
      </w:pPr>
      <w:r>
        <w:t>Gegevens van de overlast (indien bekend)</w:t>
      </w:r>
    </w:p>
    <w:p>
      <w:r>
        <w:t>Adres veroorzaker:</w:t>
        <w:br/>
        <w:t>Naam veroorzaker (indien bekend):</w:t>
        <w:br/>
      </w:r>
    </w:p>
    <w:p>
      <w:pPr>
        <w:pStyle w:val="Heading1"/>
      </w:pPr>
      <w:r>
        <w:t>Registratie van overlast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Datum</w:t>
            </w:r>
          </w:p>
        </w:tc>
        <w:tc>
          <w:tcPr>
            <w:tcW w:type="dxa" w:w="1080"/>
          </w:tcPr>
          <w:p>
            <w:r>
              <w:t>Tijd</w:t>
            </w:r>
          </w:p>
        </w:tc>
        <w:tc>
          <w:tcPr>
            <w:tcW w:type="dxa" w:w="1080"/>
          </w:tcPr>
          <w:p>
            <w:r>
              <w:t>Soort overlast</w:t>
            </w:r>
          </w:p>
        </w:tc>
        <w:tc>
          <w:tcPr>
            <w:tcW w:type="dxa" w:w="1080"/>
          </w:tcPr>
          <w:p>
            <w:r>
              <w:t>Omschrijving</w:t>
            </w:r>
          </w:p>
        </w:tc>
        <w:tc>
          <w:tcPr>
            <w:tcW w:type="dxa" w:w="1080"/>
          </w:tcPr>
          <w:p>
            <w:r>
              <w:t>Duur</w:t>
            </w:r>
          </w:p>
        </w:tc>
        <w:tc>
          <w:tcPr>
            <w:tcW w:type="dxa" w:w="1080"/>
          </w:tcPr>
          <w:p>
            <w:r>
              <w:t>Ernst (1-5)</w:t>
            </w:r>
          </w:p>
        </w:tc>
        <w:tc>
          <w:tcPr>
            <w:tcW w:type="dxa" w:w="1080"/>
          </w:tcPr>
          <w:p>
            <w:r>
              <w:t>Actie</w:t>
            </w:r>
          </w:p>
        </w:tc>
        <w:tc>
          <w:tcPr>
            <w:tcW w:type="dxa" w:w="1080"/>
          </w:tcPr>
          <w:p>
            <w:r>
              <w:t>Resultaat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pStyle w:val="Heading1"/>
      </w:pPr>
      <w:r>
        <w:t>Samenvatting (optioneel)</w:t>
      </w:r>
    </w:p>
    <w:p>
      <w:r>
        <w:t>Frequentie:</w:t>
        <w:br/>
        <w:t>Momenten:</w:t>
        <w:br/>
        <w:t>Eventuele escalatie:</w:t>
        <w:br/>
      </w:r>
    </w:p>
    <w:p>
      <w:pPr>
        <w:pStyle w:val="Heading1"/>
      </w:pPr>
      <w:r>
        <w:t>Tips</w:t>
      </w:r>
    </w:p>
    <w:p>
      <w:r>
        <w:t>- Blijf feitelijk en neutraal</w:t>
        <w:br/>
        <w:t>- Noteer zo snel mogelijk</w:t>
        <w:br/>
        <w:t>- Houd het consistent</w:t>
        <w:br/>
      </w:r>
    </w:p>
    <w:p>
      <w:pPr>
        <w:pStyle w:val="Heading1"/>
      </w:pPr>
      <w:r>
        <w:t>Disclaimer</w:t>
      </w:r>
    </w:p>
    <w:p>
      <w:r>
        <w:t>Dit logboek is een hulpmiddel en geen juridisch advies.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